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INFORME SOBRE TÉCNICAS DE DINAMIZACIÓN GRUPAL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Nombre: Chrisleidys Paulino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Matrícula: 22-EPSS-5-007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Fecha: Julio 2025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Asignatura: Dinámica de Grupos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Introducción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La dinamización grupal constituye una herramienta esencial en los entornos educativos y empresariales. Su aplicación permite optimizar la interacción entre los miembros de un grupo, fomentar la participación activa, mejorar la comunicación y fortalecer la cohesión. En este informe se presentan las principales técnicas de dinamización grupal, su clasificación, requisitos, resultados esperados y su impacto tanto en el ámbito escolar como en el organizacional.</w:t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1. ¿Qué son las Técnicas de Dinamización Grupal?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Son estrategias planificadas para facilitar la interacción y participación en un grupo. Su objetivo no es el entretenimiento, sino promover procesos significativos de aprendizaje, colaboración y desarrollo de habilidades sociales y emocionales.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2. Tipos de Técnicas y sus Objetivos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Las técnicas se clasifican según su propósito:</w:t>
        <w:br w:type="textWrapping"/>
        <w:br w:type="textWrapping"/>
        <w:t xml:space="preserve">- Presentación e integración: rompen el hielo y generan confianza inicial.</w:t>
        <w:br w:type="textWrapping"/>
        <w:t xml:space="preserve">- Conocimiento y confianza: profundizan relaciones interpersonales.</w:t>
        <w:br w:type="textWrapping"/>
        <w:t xml:space="preserve">- Comunicación y expresión: desarrollan habilidades de escucha y resolución de conflictos.</w:t>
        <w:br w:type="textWrapping"/>
        <w:t xml:space="preserve">- Resolución de problemas: estimulan la creatividad y toma de decisiones.</w:t>
        <w:br w:type="textWrapping"/>
        <w:t xml:space="preserve">- Cooperación y colaboración: fomentan el trabajo en equipo.</w:t>
        <w:br w:type="textWrapping"/>
        <w:t xml:space="preserve">- Evaluación y cierre: permiten reflexionar sobre el proceso grupal.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3. Requisitos para su Aplicación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Para aplicar estas técnicas con éxito, se requiere:</w:t>
        <w:br w:type="textWrapping"/>
        <w:br w:type="textWrapping"/>
        <w:t xml:space="preserve">- Del facilitador: habilidades de comunicación, empatía, liderazgo y ética.</w:t>
        <w:br w:type="textWrapping"/>
        <w:t xml:space="preserve">- Del contexto: objetivos claros, clima grupal adecuado, tiempo suficiente y recursos materiales.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4. Resultados Esperables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A nivel individual: mejora de la autoestima, empatía, comunicación y autoconocimiento.</w:t>
        <w:br w:type="textWrapping"/>
        <w:t xml:space="preserve">- A nivel grupal: aumento de la cohesión, eficiencia, resolución de conflictos y sentido de pertenencia.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5. Aplicación en el Ámbito Empresarial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Según la etapa de desarrollo del grupo (formación, conflicto, normalización, desempeño o disolución), se seleccionan técnicas específicas. Algunas efectivas en empresas son el brainstorming, team building, juegos de roles, simulaciones y retroalimentación 360°.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6. Aplicación en el Ámbito Educativo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En el nivel primario, las técnicas deben ser lúdicas y breves (ej. juegos cooperativos, cuentacuentos, dibujo de emociones). En el secundario, se aplican debates, proyectos colaborativos y técnicas de reflexión para fomentar el pensamiento crítico, empatía y trabajo en equipo.</w:t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  <w:t xml:space="preserve">7. Conclusión Personal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Las técnicas de dinamización grupal son fundamentales en la labor del psicólogo escolar e industrial. Permiten crear ambientes saludables y productivos, desarrollar el potencial humano y generar cambios positivos a nivel social. Como futura profesional, reconozco su valor y me comprometo a integrarlas con responsabilidad y creatividad en mi práctica.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Referencias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Basado en el informe original proporcionado y complementado con recursos académicos y prácticos sobre dinámica de grupos.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